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26-247</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HEALTH DEPARTMENT[641]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641—Chapter 142</w:t>
      </w:r>
    </w:p>
    <w:p>
      <w:pPr>
        <w:spacing w:before="0" w:after="0" w:line="480"/>
        <w:ind w:left="120"/>
        <w:jc w:val="center"/>
      </w:pPr>
      <w:r>
        <w:rPr>
          <w:rFonts w:ascii="Times New Roman" w:hAnsi="Times New Roman"/>
          <w:b w:val="false"/>
          <w:i w:val="false"/>
          <w:color w:val="000000"/>
          <w:sz w:val="24"/>
        </w:rPr>
        <w:t>“Out-of-Hospital Do-Not-Resuscitate Orders”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144A.7A and 147A</w:t>
      </w:r>
    </w:p>
    <w:p>
      <w:pPr>
        <w:spacing w:before="0" w:after="0" w:line="480"/>
        <w:ind w:left="120"/>
        <w:jc w:val="both"/>
      </w:pPr>
      <w:r>
        <w:rPr>
          <w:rFonts w:ascii="Times New Roman" w:hAnsi="Times New Roman"/>
          <w:b w:val="false"/>
          <w:i w:val="false"/>
          <w:color w:val="000000"/>
          <w:sz w:val="24"/>
        </w:rPr>
        <w:t>State or federal law(s) implemented by the rulemaking: Iowa Code section 144A.7A and chapter 147A and 2026 Iowa Acts, House File 2305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245 818 881 867 66</w:t>
            </w:r>
            <w:r>
              <w:br/>
            </w:r>
            <w:r>
              <w:rPr>
                <w:rFonts w:ascii="Times New Roman" w:hAnsi="Times New Roman"/>
                <w:b w:val="false"/>
                <w:i w:val="false"/>
                <w:color w:val="000000"/>
                <w:sz w:val="14"/>
              </w:rPr>
              <w:t>Passcode: ya9va9uv</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2026 Iowa Acts, House File 2305, by updating the definition of who can serve as an attending provider for the purposes of an out-of-hospital do-not-resuscitate (OOH DNR) order.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Individuals seeking to implement an OOH DNR order will benefit from the updated guidance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data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rulemaking specifies that an advanced registered nurse practitioner (ARNP) may serve as an attending provider for the purposes of an OOH DNR order in accordance with the provisions of 2026 Iowa Acts, House File 2305.</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the program outlined in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is appropriate to implement 2026 Iowa Acts, House File 2305.</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641—142.1(144A)</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“Attending physician,” </w:t>
      </w:r>
      <w:r>
        <w:rPr>
          <w:rFonts w:ascii="Times New Roman" w:hAnsi="Times New Roman"/>
          <w:b w:val="false"/>
          <w:i w:val="false"/>
          <w:color w:val="000000"/>
          <w:sz w:val="24"/>
        </w:rPr>
        <w:t xml:space="preserve">“Health care provider,” </w:t>
      </w:r>
      <w:r>
        <w:rPr>
          <w:rFonts w:ascii="Times New Roman" w:hAnsi="Times New Roman"/>
          <w:b w:val="false"/>
          <w:i w:val="false"/>
          <w:color w:val="000000"/>
          <w:sz w:val="24"/>
        </w:rPr>
        <w:t xml:space="preserve">“Life-sustaining procedure,” </w:t>
      </w:r>
      <w:r>
        <w:rPr>
          <w:rFonts w:ascii="Times New Roman" w:hAnsi="Times New Roman"/>
          <w:b w:val="false"/>
          <w:i w:val="false"/>
          <w:color w:val="000000"/>
          <w:sz w:val="24"/>
        </w:rPr>
        <w:t xml:space="preserve">“Out-of-hospital do-not-resuscitate order,” </w:t>
      </w:r>
      <w:r>
        <w:rPr>
          <w:rFonts w:ascii="Times New Roman" w:hAnsi="Times New Roman"/>
          <w:b w:val="false"/>
          <w:i w:val="false"/>
          <w:color w:val="000000"/>
          <w:sz w:val="24"/>
        </w:rPr>
        <w:t xml:space="preserve">“Resuscitation” and </w:t>
      </w:r>
      <w:r>
        <w:rPr>
          <w:rFonts w:ascii="Times New Roman" w:hAnsi="Times New Roman"/>
          <w:b w:val="false"/>
          <w:i w:val="false"/>
          <w:color w:val="000000"/>
          <w:sz w:val="24"/>
        </w:rPr>
        <w:t>“Terminal condition,”</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“Attending </w:t>
      </w:r>
      <w:r>
        <w:rPr>
          <w:rFonts w:ascii="Times New Roman" w:hAnsi="Times New Roman"/>
          <w:b w:val="false"/>
          <w:i/>
          <w:strike/>
          <w:color w:val="000000"/>
          <w:sz w:val="24"/>
        </w:rPr>
        <w:t>physician</w:t>
      </w:r>
      <w:r>
        <w:rPr>
          <w:rFonts w:ascii="Times New Roman" w:hAnsi="Times New Roman"/>
          <w:b w:val="false"/>
          <w:i/>
          <w:color w:val="000000"/>
          <w:sz w:val="24"/>
          <w:u w:val="single"/>
        </w:rPr>
        <w:t> </w:t>
      </w:r>
      <w:r>
        <w:rPr>
          <w:rFonts w:ascii="Times New Roman" w:hAnsi="Times New Roman"/>
          <w:b w:val="false"/>
          <w:i/>
          <w:color w:val="000000"/>
          <w:sz w:val="24"/>
          <w:u w:val="single"/>
        </w:rPr>
        <w:t>provider</w:t>
      </w:r>
      <w:r>
        <w:rPr>
          <w:rFonts w:ascii="Times New Roman" w:hAnsi="Times New Roman"/>
          <w:b w:val="false"/>
          <w:i/>
          <w:color w:val="000000"/>
          <w:sz w:val="24"/>
        </w:rPr>
        <w: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a physician selected by, or assigned to, the patient who has primary responsibility for the treatment and care of the patient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same as defined in Iowa Code section </w:t>
      </w:r>
      <w:hyperlink r:id="rId5">
        <w:r>
          <w:rPr>
            <w:rStyle w:val="Hyperlink"/>
            <w:rFonts w:ascii="Times New Roman" w:hAnsi="Times New Roman"/>
            <w:b w:val="false"/>
            <w:i w:val="false"/>
            <w:color w:val="000000"/>
            <w:sz w:val="24"/>
            <w:u w:val="single"/>
          </w:rPr>
          <w:t>135J.1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“Health care provider”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a person, including an emergency medical care provider, who is licensed, certified, or otherwise authorized or permitted by the law of this state to administer health care in the ordinary course of business or in the practice of a profession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same as defined in Iowa Code section </w:t>
      </w:r>
      <w:hyperlink r:id="rId6">
        <w:r>
          <w:rPr>
            <w:rStyle w:val="Hyperlink"/>
            <w:rFonts w:ascii="Times New Roman" w:hAnsi="Times New Roman"/>
            <w:b w:val="false"/>
            <w:i w:val="false"/>
            <w:color w:val="000000"/>
            <w:sz w:val="24"/>
            <w:u w:val="single"/>
          </w:rPr>
          <w:t>144A.2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“Life-sustaining procedure”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any medical procedure, treatment, or intervention, including resuscitation, which utilizes mechanical or artificial means to sustain, restore or supplant a spontaneous vital function, and when applied to a patient in a terminal condition, would serve only to prolong the dying process. “Life-sustaining procedure” does not include the provision of nutrition or hydration except when required to be provided parenterally or through intubation or the administration of medication or performance of any medical procedure deemed necessary to provide comfort care or to alleviate pain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same as defined in Iowa Code section </w:t>
      </w:r>
      <w:hyperlink r:id="rId7">
        <w:r>
          <w:rPr>
            <w:rStyle w:val="Hyperlink"/>
            <w:rFonts w:ascii="Times New Roman" w:hAnsi="Times New Roman"/>
            <w:b w:val="false"/>
            <w:i w:val="false"/>
            <w:color w:val="000000"/>
            <w:sz w:val="24"/>
            <w:u w:val="single"/>
          </w:rPr>
          <w:t>144A.2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“Out-of-hospital do-not-resuscitate order”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“OOH DNR order”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 xml:space="preserve">a written order on a form approved by the department, signed by an attending physician, executed in accordance with the requirements of Iowa Code section </w:t>
      </w:r>
      <w:hyperlink r:id="rId8">
        <w:r>
          <w:rPr>
            <w:rStyle w:val="Hyperlink"/>
            <w:rFonts w:ascii="Times New Roman" w:hAnsi="Times New Roman"/>
            <w:b w:val="false"/>
            <w:i w:val="false"/>
            <w:strike/>
            <w:color w:val="000000"/>
            <w:sz w:val="24"/>
          </w:rPr>
          <w:t>144A.7A</w:t>
        </w:r>
      </w:hyperlink>
      <w:r>
        <w:rPr>
          <w:rFonts w:ascii="Times New Roman" w:hAnsi="Times New Roman"/>
          <w:b w:val="false"/>
          <w:i w:val="false"/>
          <w:strike/>
          <w:color w:val="000000"/>
          <w:sz w:val="24"/>
        </w:rPr>
        <w:t xml:space="preserve"> and issued consistent with Iowa Code section </w:t>
      </w:r>
      <w:hyperlink r:id="rId9">
        <w:r>
          <w:rPr>
            <w:rStyle w:val="Hyperlink"/>
            <w:rFonts w:ascii="Times New Roman" w:hAnsi="Times New Roman"/>
            <w:b w:val="false"/>
            <w:i w:val="false"/>
            <w:strike/>
            <w:color w:val="000000"/>
            <w:sz w:val="24"/>
          </w:rPr>
          <w:t>144A.2</w:t>
        </w:r>
      </w:hyperlink>
      <w:r>
        <w:rPr>
          <w:rFonts w:ascii="Times New Roman" w:hAnsi="Times New Roman"/>
          <w:b w:val="false"/>
          <w:i w:val="false"/>
          <w:strike/>
          <w:color w:val="000000"/>
          <w:sz w:val="24"/>
        </w:rPr>
        <w:t>, that directs the withholding or withdrawal of resuscitation when an adult patient in a terminal condition is outside the hospital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same as defined in Iowa Code section </w:t>
      </w:r>
      <w:hyperlink r:id="rId10">
        <w:r>
          <w:rPr>
            <w:rStyle w:val="Hyperlink"/>
            <w:rFonts w:ascii="Times New Roman" w:hAnsi="Times New Roman"/>
            <w:b w:val="false"/>
            <w:i w:val="false"/>
            <w:color w:val="000000"/>
            <w:sz w:val="24"/>
            <w:u w:val="single"/>
          </w:rPr>
          <w:t>144A.2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“Resuscitation”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any medical intervention that utilizes mechanical or artificial means to sustain, restore, or supplant a spontaneous vital function, including but not limited to chest compression, defibrillation, intubation, and emergency drugs intended to alter cardiac function or otherwise to sustain life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same as defined in Iowa Code section </w:t>
      </w:r>
      <w:hyperlink r:id="rId11">
        <w:r>
          <w:rPr>
            <w:rStyle w:val="Hyperlink"/>
            <w:rFonts w:ascii="Times New Roman" w:hAnsi="Times New Roman"/>
            <w:b w:val="false"/>
            <w:i w:val="false"/>
            <w:color w:val="000000"/>
            <w:sz w:val="24"/>
            <w:u w:val="single"/>
          </w:rPr>
          <w:t>144A.2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“Terminal condition”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an incurable or irreversible condition that, without the administration of life-sustaining procedures, will, in the opinion of the attending physician, result in death within a relatively short period of time or a state of permanent unconsciousness from which, to a reasonable degree of medical certainty, there can be no recovery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same as defined in Iowa Code section </w:t>
      </w:r>
      <w:hyperlink r:id="rId12">
        <w:r>
          <w:rPr>
            <w:rStyle w:val="Hyperlink"/>
            <w:rFonts w:ascii="Times New Roman" w:hAnsi="Times New Roman"/>
            <w:b w:val="false"/>
            <w:i w:val="false"/>
            <w:color w:val="000000"/>
            <w:sz w:val="24"/>
            <w:u w:val="single"/>
          </w:rPr>
          <w:t>144A.2</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the definition of </w:t>
      </w:r>
      <w:r>
        <w:rPr>
          <w:rFonts w:ascii="Times New Roman" w:hAnsi="Times New Roman"/>
          <w:b w:val="false"/>
          <w:i w:val="false"/>
          <w:color w:val="000000"/>
          <w:sz w:val="24"/>
        </w:rPr>
        <w:t>“Attending physician associate”</w:t>
      </w:r>
      <w:r>
        <w:rPr>
          <w:rFonts w:ascii="Times New Roman" w:hAnsi="Times New Roman"/>
          <w:b w:val="false"/>
          <w:i w:val="false"/>
          <w:color w:val="000000"/>
          <w:sz w:val="24"/>
        </w:rPr>
        <w:t xml:space="preserve"> in rule </w:t>
      </w:r>
      <w:r>
        <w:rPr>
          <w:rFonts w:ascii="Times New Roman" w:hAnsi="Times New Roman"/>
          <w:b/>
          <w:i w:val="false"/>
          <w:color w:val="000000"/>
          <w:sz w:val="24"/>
        </w:rPr>
        <w:t>641—142.1(144A)</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142.2(1)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142.2(1)</w:t>
      </w:r>
      <w:r>
        <w:rPr>
          <w:rFonts w:ascii="Times New Roman" w:hAnsi="Times New Roman"/>
          <w:b w:val="false"/>
          <w:i w:val="false"/>
          <w:color w:val="000000"/>
          <w:sz w:val="24"/>
        </w:rPr>
        <w:t> </w:t>
      </w:r>
      <w:r>
        <w:rPr>
          <w:rFonts w:ascii="Times New Roman" w:hAnsi="Times New Roman"/>
          <w:b w:val="false"/>
          <w:i/>
          <w:strike/>
          <w:color w:val="000000"/>
          <w:sz w:val="24"/>
        </w:rPr>
        <w:t>OOH DNR physician or physician associate</w:t>
      </w:r>
      <w:r>
        <w:rPr>
          <w:rFonts w:ascii="Times New Roman" w:hAnsi="Times New Roman"/>
          <w:b w:val="false"/>
          <w:i/>
          <w:color w:val="000000"/>
          <w:sz w:val="24"/>
          <w:u w:val="single"/>
        </w:rPr>
        <w:t> </w:t>
      </w:r>
      <w:r>
        <w:rPr>
          <w:rFonts w:ascii="Times New Roman" w:hAnsi="Times New Roman"/>
          <w:b w:val="false"/>
          <w:i/>
          <w:color w:val="000000"/>
          <w:sz w:val="24"/>
          <w:u w:val="single"/>
        </w:rPr>
        <w:t>Attending provider</w:t>
      </w:r>
      <w:r>
        <w:rPr>
          <w:rFonts w:ascii="Times New Roman" w:hAnsi="Times New Roman"/>
          <w:b w:val="false"/>
          <w:i/>
          <w:color w:val="000000"/>
          <w:sz w:val="24"/>
        </w:rPr>
        <w:t xml:space="preserve"> order. </w:t>
      </w:r>
      <w:r>
        <w:rPr>
          <w:rFonts w:ascii="Times New Roman" w:hAnsi="Times New Roman"/>
          <w:b w:val="false"/>
          <w:i w:val="false"/>
          <w:color w:val="000000"/>
          <w:sz w:val="24"/>
        </w:rPr>
        <w:t xml:space="preserve">The department designates the OOH DNR order form contained in Appendix A as the uniform OOH DNR order form to be used statewide. If an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issues an OOH DNR order for a qualified patient, the </w:t>
      </w:r>
      <w:r>
        <w:rPr>
          <w:rFonts w:ascii="Times New Roman" w:hAnsi="Times New Roman"/>
          <w:b w:val="false"/>
          <w:i w:val="false"/>
          <w:strike/>
          <w:color w:val="000000"/>
          <w:sz w:val="24"/>
        </w:rPr>
        <w:t>physician or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attending provider</w:t>
      </w:r>
      <w:r>
        <w:rPr>
          <w:rFonts w:ascii="Times New Roman" w:hAnsi="Times New Roman"/>
          <w:b w:val="false"/>
          <w:i w:val="false"/>
          <w:color w:val="000000"/>
          <w:sz w:val="24"/>
        </w:rPr>
        <w:t xml:space="preserve"> must use the form contained in Appendix A.</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142.4(1)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142.4(1)</w:t>
      </w:r>
      <w:r>
        <w:rPr>
          <w:rFonts w:ascii="Times New Roman" w:hAnsi="Times New Roman"/>
          <w:b w:val="false"/>
          <w:i w:val="false"/>
          <w:color w:val="000000"/>
          <w:sz w:val="24"/>
        </w:rPr>
        <w:t> </w:t>
      </w:r>
      <w:r>
        <w:rPr>
          <w:rFonts w:ascii="Times New Roman" w:hAnsi="Times New Roman"/>
          <w:b w:val="false"/>
          <w:i/>
          <w:color w:val="000000"/>
          <w:sz w:val="24"/>
        </w:rPr>
        <w:t xml:space="preserve">Attending </w:t>
      </w:r>
      <w:r>
        <w:rPr>
          <w:rFonts w:ascii="Times New Roman" w:hAnsi="Times New Roman"/>
          <w:b w:val="false"/>
          <w:i/>
          <w:strike/>
          <w:color w:val="000000"/>
          <w:sz w:val="24"/>
        </w:rPr>
        <w:t>physicians or attending physician associates</w:t>
      </w:r>
      <w:r>
        <w:rPr>
          <w:rFonts w:ascii="Times New Roman" w:hAnsi="Times New Roman"/>
          <w:b w:val="false"/>
          <w:i/>
          <w:color w:val="000000"/>
          <w:sz w:val="24"/>
          <w:u w:val="single"/>
        </w:rPr>
        <w:t> </w:t>
      </w:r>
      <w:r>
        <w:rPr>
          <w:rFonts w:ascii="Times New Roman" w:hAnsi="Times New Roman"/>
          <w:b w:val="false"/>
          <w:i/>
          <w:color w:val="000000"/>
          <w:sz w:val="24"/>
          <w:u w:val="single"/>
        </w:rPr>
        <w:t>providers</w:t>
      </w:r>
      <w:r>
        <w:rPr>
          <w:rFonts w:ascii="Times New Roman" w:hAnsi="Times New Roman"/>
          <w:b w:val="false"/>
          <w:i/>
          <w:color w:val="000000"/>
          <w:sz w:val="24"/>
        </w:rPr>
        <w:t xml:space="preserve"> who issue OOH DNR orders. </w:t>
      </w:r>
      <w:r>
        <w:rPr>
          <w:rFonts w:ascii="Times New Roman" w:hAnsi="Times New Roman"/>
          <w:b w:val="false"/>
          <w:i w:val="false"/>
          <w:color w:val="000000"/>
          <w:sz w:val="24"/>
        </w:rPr>
        <w:t xml:space="preserve">The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should ensure that the following are accomplished: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qualified patient or individual legally authorized to act on the patient’s behalf decides that the patient should not be resuscitated, the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may issue the OOH DNR order on the prescribed uniform order form. The order will direct health care providers to withhold or withdraw resuscitation.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641—142.7(144A)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641—142.7</w:t>
      </w:r>
      <w:r>
        <w:rPr>
          <w:rFonts w:ascii="Times New Roman" w:hAnsi="Times New Roman"/>
          <w:b/>
          <w:i w:val="false"/>
          <w:color w:val="000000"/>
          <w:sz w:val="24"/>
        </w:rPr>
        <w:t xml:space="preserve">(144A) </w:t>
      </w:r>
      <w:r>
        <w:rPr>
          <w:rFonts w:ascii="Times New Roman" w:hAnsi="Times New Roman"/>
          <w:b/>
          <w:i w:val="false"/>
          <w:color w:val="000000"/>
          <w:sz w:val="24"/>
        </w:rPr>
        <w:t xml:space="preserve">Transfer of patients. </w:t>
      </w:r>
      <w:r>
        <w:rPr>
          <w:rFonts w:ascii="Times New Roman" w:hAnsi="Times New Roman"/>
          <w:b w:val="false"/>
          <w:i w:val="false"/>
          <w:color w:val="000000"/>
          <w:sz w:val="24"/>
          <w:u w:val="single"/>
        </w:rPr>
        <w:t xml:space="preserve">Attending providers shall comply with the provisions of Iowa Code section </w:t>
      </w:r>
      <w:hyperlink r:id="rId13">
        <w:r>
          <w:rPr>
            <w:rStyle w:val="Hyperlink"/>
            <w:rFonts w:ascii="Times New Roman" w:hAnsi="Times New Roman"/>
            <w:b w:val="false"/>
            <w:i w:val="false"/>
            <w:color w:val="000000"/>
            <w:sz w:val="24"/>
            <w:u w:val="single"/>
          </w:rPr>
          <w:t>144A.8</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142.7(1)</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An attending physician or attending physician associate who is unwilling to comply with an OOH DNR order or who is unwilling to comply with the provisions of Iowa Code section </w:t>
      </w:r>
      <w:hyperlink r:id="rId14">
        <w:r>
          <w:rPr>
            <w:rStyle w:val="Hyperlink"/>
            <w:rFonts w:ascii="Times New Roman" w:hAnsi="Times New Roman"/>
            <w:b w:val="false"/>
            <w:i w:val="false"/>
            <w:strike/>
            <w:color w:val="000000"/>
            <w:sz w:val="24"/>
          </w:rPr>
          <w:t>144A.7A</w:t>
        </w:r>
      </w:hyperlink>
      <w:r>
        <w:rPr>
          <w:rFonts w:ascii="Times New Roman" w:hAnsi="Times New Roman"/>
          <w:b w:val="false"/>
          <w:i w:val="false"/>
          <w:strike/>
          <w:color w:val="000000"/>
          <w:sz w:val="24"/>
        </w:rPr>
        <w:t xml:space="preserve"> shall take all reasonable steps to effect the transfer of the patient to another physician or physician associate.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142.7(2)</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If the policies of a hospital, nursing home, home health care agency, hospice or other health care organization preclude compliance with the OOH DNR order of a qualified patient, the provider shall take all reasonable steps to effect the transfer of the patient to an organization in which the provisions of Iowa Code section </w:t>
      </w:r>
      <w:hyperlink r:id="rId15">
        <w:r>
          <w:rPr>
            <w:rStyle w:val="Hyperlink"/>
            <w:rFonts w:ascii="Times New Roman" w:hAnsi="Times New Roman"/>
            <w:b w:val="false"/>
            <w:i w:val="false"/>
            <w:strike/>
            <w:color w:val="000000"/>
            <w:sz w:val="24"/>
          </w:rPr>
          <w:t>144A.7A</w:t>
        </w:r>
      </w:hyperlink>
      <w:r>
        <w:rPr>
          <w:rFonts w:ascii="Times New Roman" w:hAnsi="Times New Roman"/>
          <w:b w:val="false"/>
          <w:i w:val="false"/>
          <w:strike/>
          <w:color w:val="000000"/>
          <w:sz w:val="24"/>
        </w:rPr>
        <w:t xml:space="preserve"> can be carried out.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641—Chapter 142</w:t>
      </w:r>
      <w:r>
        <w:rPr>
          <w:rFonts w:ascii="Times New Roman" w:hAnsi="Times New Roman"/>
          <w:b w:val="false"/>
          <w:i w:val="false"/>
          <w:color w:val="000000"/>
          <w:sz w:val="24"/>
        </w:rPr>
        <w:t>, Appendix A</w:t>
      </w:r>
      <w:r>
        <w:rPr>
          <w:rFonts w:ascii="Times New Roman" w:hAnsi="Times New Roman"/>
          <w:b w:val="false"/>
          <w:i w:val="false"/>
          <w:color w:val="000000"/>
          <w:sz w:val="24"/>
        </w:rPr>
        <w:t>, as follows:</w:t>
      </w:r>
    </w:p>
    <w:p>
      <w:pPr>
        <w:spacing w:before="0" w:after="0"/>
        <w:ind w:left="120"/>
        <w:jc w:val="center"/>
      </w:pPr>
      <w:r>
        <w:br w:type="page"/>
      </w:r>
      <w:r>
        <w:rPr>
          <w:rFonts w:ascii="Times New Roman" w:hAnsi="Times New Roman"/>
          <w:b w:val="false"/>
          <w:i w:val="false"/>
          <w:color w:val="000000"/>
          <w:sz w:val="24"/>
        </w:rPr>
        <w:t>APPENDIX A</w:t>
      </w:r>
    </w:p>
    <w:p>
      <w:pPr>
        <w:spacing w:before="0" w:after="0"/>
        <w:ind w:left="120"/>
        <w:jc w:val="left"/>
      </w:pPr>
      <w:r>
        <w:rPr>
          <w:rFonts w:ascii="Times New Roman" w:hAnsi="Times New Roman"/>
          <w:b w:val="false"/>
          <w:i w:val="false"/>
          <w:color w:val="000000"/>
          <w:sz w:val="24"/>
        </w:rPr>
        <w:t> </w:t>
      </w:r>
    </w:p>
    <w:p>
      <w:pPr>
        <w:spacing w:before="0" w:after="0"/>
        <w:ind w:left="120"/>
        <w:jc w:val="center"/>
      </w:pPr>
      <w:r>
        <w:rPr>
          <w:rFonts w:ascii="Times New Roman" w:hAnsi="Times New Roman"/>
          <w:b/>
          <w:i w:val="false"/>
          <w:color w:val="000000"/>
          <w:sz w:val="24"/>
        </w:rPr>
        <w:t>Iowa Department of Health and Human Services</w:t>
      </w:r>
    </w:p>
    <w:p>
      <w:pPr>
        <w:spacing w:before="0" w:after="0"/>
        <w:ind w:left="120"/>
        <w:jc w:val="center"/>
      </w:pPr>
      <w:r>
        <w:rPr>
          <w:rFonts w:ascii="Times New Roman" w:hAnsi="Times New Roman"/>
          <w:b/>
          <w:i w:val="false"/>
          <w:color w:val="000000"/>
          <w:sz w:val="24"/>
        </w:rPr>
        <w:t>OUT-OF-HOSPITAL DO-NOT-RESUSCITATE ORDER</w:t>
      </w:r>
    </w:p>
    <w:p>
      <w:pPr>
        <w:spacing w:before="0" w:after="0"/>
        <w:ind w:left="120"/>
        <w:jc w:val="center"/>
      </w:pPr>
      <w:r>
        <w:rPr>
          <w:rFonts w:ascii="Times New Roman" w:hAnsi="Times New Roman"/>
          <w:b/>
          <w:i w:val="false"/>
          <w:color w:val="000000"/>
          <w:sz w:val="24"/>
        </w:rPr>
        <w:t>(Please type or print)</w:t>
      </w:r>
    </w:p>
    <w:p>
      <w:pPr>
        <w:spacing w:before="0" w:after="0"/>
        <w:ind w:left="120"/>
        <w:jc w:val="both"/>
      </w:pPr>
      <w:r>
        <w:rPr>
          <w:rFonts w:ascii="Times New Roman" w:hAnsi="Times New Roman"/>
          <w:b w:val="false"/>
          <w:i w:val="false"/>
          <w:color w:val="000000"/>
          <w:sz w:val="24"/>
        </w:rPr>
        <w:t>Date of Order: _____/_____/_____</w:t>
      </w:r>
    </w:p>
    <w:p>
      <w:pPr>
        <w:spacing w:before="0" w:after="0"/>
        <w:ind w:left="120"/>
        <w:jc w:val="both"/>
      </w:pPr>
      <w:r>
        <w:rPr>
          <w:rFonts w:ascii="Times New Roman" w:hAnsi="Times New Roman"/>
          <w:b w:val="false"/>
          <w:i w:val="false"/>
          <w:color w:val="000000"/>
          <w:sz w:val="24"/>
        </w:rPr>
        <w:t>Patient Information:</w:t>
      </w:r>
    </w:p>
    <w:p>
      <w:pPr>
        <w:spacing w:before="0" w:after="0"/>
        <w:ind w:left="120"/>
        <w:jc w:val="both"/>
      </w:pPr>
      <w:r>
        <w:rPr>
          <w:rFonts w:ascii="Times New Roman" w:hAnsi="Times New Roman"/>
          <w:b w:val="false"/>
          <w:i w:val="false"/>
          <w:color w:val="000000"/>
          <w:sz w:val="24"/>
        </w:rPr>
        <w:t>Name: (Last)____________________(First)____________________(Middle)__________________</w:t>
      </w:r>
    </w:p>
    <w:p>
      <w:pPr>
        <w:spacing w:before="0" w:after="0"/>
        <w:ind w:left="120"/>
        <w:jc w:val="both"/>
      </w:pPr>
      <w:r>
        <w:rPr>
          <w:rFonts w:ascii="Times New Roman" w:hAnsi="Times New Roman"/>
          <w:b w:val="false"/>
          <w:i w:val="false"/>
          <w:color w:val="000000"/>
          <w:sz w:val="24"/>
        </w:rPr>
        <w:t>Address: _____________________________(City)___________________(Zip)____________</w:t>
      </w:r>
    </w:p>
    <w:p>
      <w:pPr>
        <w:spacing w:before="0" w:after="0"/>
        <w:ind w:left="120"/>
        <w:jc w:val="both"/>
      </w:pPr>
      <w:r>
        <w:rPr>
          <w:rFonts w:ascii="Times New Roman" w:hAnsi="Times New Roman"/>
          <w:b w:val="false"/>
          <w:i w:val="false"/>
          <w:color w:val="000000"/>
          <w:sz w:val="24"/>
        </w:rPr>
        <w:t xml:space="preserve">Date of Birth: _____/_____/_____ </w:t>
      </w:r>
      <w:r>
        <w:rPr>
          <w:rFonts w:ascii="Times New Roman" w:hAnsi="Times New Roman"/>
          <w:b w:val="false"/>
          <w:i w:val="false"/>
          <w:color w:val="000000"/>
          <w:sz w:val="24"/>
        </w:rPr>
        <w:t>Sex (Circle): M or F</w:t>
      </w:r>
    </w:p>
    <w:p>
      <w:pPr>
        <w:spacing w:before="0" w:after="0"/>
        <w:ind w:left="120"/>
        <w:jc w:val="both"/>
      </w:pPr>
      <w:r>
        <w:rPr>
          <w:rFonts w:ascii="Times New Roman" w:hAnsi="Times New Roman"/>
          <w:b w:val="false"/>
          <w:i w:val="false"/>
          <w:color w:val="000000"/>
          <w:sz w:val="24"/>
        </w:rPr>
        <w:t xml:space="preserve">Name of Hospice or Care Facility (if applicable): </w:t>
      </w:r>
    </w:p>
    <w:p>
      <w:pPr>
        <w:spacing w:before="0" w:after="0"/>
        <w:ind w:left="120"/>
        <w:jc w:val="both"/>
      </w:pPr>
    </w:p>
    <w:p>
      <w:pPr>
        <w:spacing w:before="0" w:after="0"/>
        <w:ind w:left="120"/>
        <w:jc w:val="center"/>
      </w:pPr>
      <w:r>
        <w:rPr>
          <w:rFonts w:ascii="Times New Roman" w:hAnsi="Times New Roman"/>
          <w:b/>
          <w:i w:val="false"/>
          <w:color w:val="000000"/>
          <w:sz w:val="24"/>
          <w:u w:val="single"/>
        </w:rPr>
        <w:t xml:space="preserve">Attending </w:t>
      </w:r>
      <w:r>
        <w:rPr>
          <w:rFonts w:ascii="Times New Roman" w:hAnsi="Times New Roman"/>
          <w:b/>
          <w:i w:val="false"/>
          <w:strike/>
          <w:color w:val="000000"/>
          <w:sz w:val="24"/>
        </w:rPr>
        <w:t>Physician or Physician Associate</w:t>
      </w:r>
      <w:r>
        <w:rPr>
          <w:rFonts w:ascii="Times New Roman" w:hAnsi="Times New Roman"/>
          <w:b/>
          <w:i w:val="false"/>
          <w:color w:val="000000"/>
          <w:sz w:val="24"/>
          <w:u w:val="single"/>
        </w:rPr>
        <w:t> </w:t>
      </w:r>
      <w:r>
        <w:rPr>
          <w:rFonts w:ascii="Times New Roman" w:hAnsi="Times New Roman"/>
          <w:b/>
          <w:i w:val="false"/>
          <w:color w:val="000000"/>
          <w:sz w:val="24"/>
          <w:u w:val="single"/>
        </w:rPr>
        <w:t>Provider</w:t>
      </w:r>
      <w:r>
        <w:rPr>
          <w:rFonts w:ascii="Times New Roman" w:hAnsi="Times New Roman"/>
          <w:b/>
          <w:i w:val="false"/>
          <w:color w:val="000000"/>
          <w:sz w:val="24"/>
          <w:u w:val="single"/>
        </w:rPr>
        <w:t xml:space="preserve"> Order</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 xml:space="preserve">As the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for the above-named patient, I certify that this individual is over 18 years of age and has a terminal diagnosis. After consultation with this patient (or the patient’s legal representative), I hereby direct any and all health care providers, including qualified emergency medical services (EMS) personnel, to withhold or withdraw the following life-sustaining procedures in accordance with Iowa law (Iowa Code chapter </w:t>
      </w:r>
      <w:hyperlink r:id="rId16">
        <w:r>
          <w:rPr>
            <w:rStyle w:val="Hyperlink"/>
            <w:rFonts w:ascii="Times New Roman" w:hAnsi="Times New Roman"/>
            <w:b w:val="false"/>
            <w:i w:val="false"/>
            <w:color w:val="000000"/>
            <w:sz w:val="24"/>
          </w:rPr>
          <w:t>142A</w:t>
        </w:r>
      </w:hyperlink>
      <w:r>
        <w:rPr>
          <w:rFonts w:ascii="Times New Roman" w:hAnsi="Times New Roman"/>
          <w:b w:val="false"/>
          <w:i w:val="false"/>
          <w:color w:val="000000"/>
          <w:sz w:val="24"/>
        </w:rPr>
        <w: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Cardiopulmonary Resuscitation/Cardiac Compression (Chest Compressions).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Endotracheal Intubation/Artificial or Mechanical Ventilation (Advance Airway Management).</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Defibrillation and Related Procedures.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Use of Resuscitation Drugs.</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This directive does NOT apply to other medical interventions for comfort care.</w:t>
      </w:r>
    </w:p>
    <w:p>
      <w:pPr>
        <w:spacing w:before="0" w:after="0"/>
        <w:ind w:left="120"/>
        <w:jc w:val="left"/>
      </w:pPr>
      <w:r>
        <w:rPr>
          <w:rFonts w:ascii="Times New Roman" w:hAnsi="Times New Roman"/>
          <w:b w:val="false"/>
          <w:i w:val="false"/>
          <w:color w:val="000000"/>
          <w:sz w:val="24"/>
        </w:rPr>
        <w:t> </w:t>
      </w:r>
    </w:p>
    <w:tbl>
      <w:tblPr>
        <w:tblW w:w="0" w:type="auto"/>
        <w:tblCellSpacing w:w="0" w:type="auto"/>
        <w:tblBorders>
          <w:top w:val="none"/>
          <w:left w:val="none"/>
          <w:bottom w:val="none"/>
          <w:right w:val="none"/>
          <w:insideH w:val="none"/>
          <w:insideV w:val="none"/>
        </w:tblBorders>
        <w:tblLayout w:type="fixed"/>
      </w:tblPr>
      <w:tblGrid>
        <w:gridCol w:w="6267"/>
        <w:gridCol w:w="400"/>
        <w:gridCol w:w="4800"/>
      </w:tblGrid>
      <w:tr>
        <w:trPr>
          <w:trHeight w:val="195" w:hRule="atLeast"/>
        </w:trPr>
        <w:tc>
          <w:tcPr>
            <w:tcW w:w="626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______/______/______</w:t>
            </w:r>
          </w:p>
        </w:tc>
      </w:tr>
      <w:tr>
        <w:trPr>
          <w:trHeight w:val="345" w:hRule="atLeast"/>
        </w:trPr>
        <w:tc>
          <w:tcPr>
            <w:tcW w:w="6267"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 xml:space="preserve">Signature of Attending </w:t>
            </w:r>
            <w:r>
              <w:rPr>
                <w:rFonts w:ascii="Times New Roman" w:hAnsi="Times New Roman"/>
                <w:b/>
                <w:i w:val="false"/>
                <w:strike/>
                <w:color w:val="000000"/>
                <w:sz w:val="14"/>
              </w:rPr>
              <w:t>Physician (MD, DO) or Attending Physician Associate</w:t>
            </w:r>
            <w:r>
              <w:rPr>
                <w:rFonts w:ascii="Times New Roman" w:hAnsi="Times New Roman"/>
                <w:b/>
                <w:i w:val="false"/>
                <w:color w:val="000000"/>
                <w:sz w:val="14"/>
                <w:u w:val="single"/>
              </w:rPr>
              <w:t> </w:t>
            </w:r>
            <w:r>
              <w:rPr>
                <w:rFonts w:ascii="Times New Roman" w:hAnsi="Times New Roman"/>
                <w:b/>
                <w:i w:val="false"/>
                <w:color w:val="000000"/>
                <w:sz w:val="14"/>
                <w:u w:val="single"/>
              </w:rPr>
              <w:t>Provider</w:t>
            </w:r>
          </w:p>
        </w:tc>
        <w:tc>
          <w:tcPr>
            <w:tcW w:w="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Date</w:t>
            </w:r>
          </w:p>
        </w:tc>
      </w:tr>
      <w:tr>
        <w:trPr>
          <w:trHeight w:val="180" w:hRule="atLeast"/>
        </w:trPr>
        <w:tc>
          <w:tcPr>
            <w:tcW w:w="6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626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(______)_____-_______</w:t>
            </w:r>
          </w:p>
        </w:tc>
      </w:tr>
      <w:tr>
        <w:trPr>
          <w:trHeight w:val="345" w:hRule="atLeast"/>
        </w:trPr>
        <w:tc>
          <w:tcPr>
            <w:tcW w:w="6267"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u w:val="single"/>
              </w:rPr>
              <w:t>Printed</w:t>
            </w:r>
            <w:r>
              <w:rPr>
                <w:rFonts w:ascii="Times New Roman" w:hAnsi="Times New Roman"/>
                <w:b/>
                <w:i w:val="false"/>
                <w:color w:val="000000"/>
                <w:sz w:val="14"/>
              </w:rPr>
              <w:t xml:space="preserve"> Name of Attending </w:t>
            </w:r>
            <w:r>
              <w:rPr>
                <w:rFonts w:ascii="Times New Roman" w:hAnsi="Times New Roman"/>
                <w:b/>
                <w:i w:val="false"/>
                <w:strike/>
                <w:color w:val="000000"/>
                <w:sz w:val="14"/>
              </w:rPr>
              <w:t>Physician or Attending Physician Associate</w:t>
            </w:r>
            <w:r>
              <w:rPr>
                <w:rFonts w:ascii="Times New Roman" w:hAnsi="Times New Roman"/>
                <w:b/>
                <w:i w:val="false"/>
                <w:color w:val="000000"/>
                <w:sz w:val="14"/>
                <w:u w:val="single"/>
              </w:rPr>
              <w:t> </w:t>
            </w:r>
            <w:r>
              <w:rPr>
                <w:rFonts w:ascii="Times New Roman" w:hAnsi="Times New Roman"/>
                <w:b/>
                <w:i w:val="false"/>
                <w:color w:val="000000"/>
                <w:sz w:val="14"/>
                <w:u w:val="single"/>
              </w:rPr>
              <w:t>Provider</w:t>
            </w:r>
          </w:p>
        </w:tc>
        <w:tc>
          <w:tcPr>
            <w:tcW w:w="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strike/>
                <w:color w:val="000000"/>
                <w:sz w:val="14"/>
              </w:rPr>
              <w:t>Physician’s or Physician Associate’s</w:t>
            </w:r>
            <w:r>
              <w:rPr>
                <w:rFonts w:ascii="Times New Roman" w:hAnsi="Times New Roman"/>
                <w:b/>
                <w:i w:val="false"/>
                <w:color w:val="000000"/>
                <w:sz w:val="14"/>
                <w:u w:val="single"/>
              </w:rPr>
              <w:t> </w:t>
            </w:r>
            <w:r>
              <w:rPr>
                <w:rFonts w:ascii="Times New Roman" w:hAnsi="Times New Roman"/>
                <w:b/>
                <w:i w:val="false"/>
                <w:color w:val="000000"/>
                <w:sz w:val="14"/>
                <w:u w:val="single"/>
              </w:rPr>
              <w:t>Provider’s</w:t>
            </w:r>
            <w:r>
              <w:rPr>
                <w:rFonts w:ascii="Times New Roman" w:hAnsi="Times New Roman"/>
                <w:b/>
                <w:i w:val="false"/>
                <w:color w:val="000000"/>
                <w:sz w:val="14"/>
              </w:rPr>
              <w:t xml:space="preserve"> Telephone (Emergency)</w:t>
            </w:r>
          </w:p>
        </w:tc>
      </w:tr>
    </w:tbl>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 xml:space="preserve">To the extent that it is possible, a person designated by the patient may revoke this order on the patient’s behalf. If the patient wishes to authorize any other person(s) to revoke this order, the patient </w:t>
      </w:r>
      <w:r>
        <w:rPr>
          <w:rFonts w:ascii="Times New Roman" w:hAnsi="Times New Roman"/>
          <w:b/>
          <w:i w:val="false"/>
          <w:color w:val="000000"/>
          <w:sz w:val="24"/>
          <w:u w:val="single"/>
        </w:rPr>
        <w:t>MUST</w:t>
      </w:r>
      <w:r>
        <w:rPr>
          <w:rFonts w:ascii="Times New Roman" w:hAnsi="Times New Roman"/>
          <w:b/>
          <w:i w:val="false"/>
          <w:color w:val="000000"/>
          <w:sz w:val="24"/>
        </w:rPr>
        <w:t xml:space="preserve"> list those persons’ names below:</w:t>
      </w:r>
    </w:p>
    <w:p>
      <w:pPr>
        <w:spacing w:before="0" w:after="0"/>
        <w:ind w:left="120"/>
        <w:jc w:val="both"/>
      </w:pPr>
      <w:r>
        <w:rPr>
          <w:rFonts w:ascii="Times New Roman" w:hAnsi="Times New Roman"/>
          <w:b w:val="false"/>
          <w:i w:val="false"/>
          <w:color w:val="000000"/>
          <w:sz w:val="24"/>
        </w:rPr>
        <w:t xml:space="preserve">Name: </w:t>
      </w:r>
    </w:p>
    <w:p>
      <w:pPr>
        <w:spacing w:before="0" w:after="0"/>
        <w:ind w:left="120"/>
        <w:jc w:val="both"/>
      </w:pPr>
      <w:r>
        <w:rPr>
          <w:rFonts w:ascii="Times New Roman" w:hAnsi="Times New Roman"/>
          <w:b w:val="false"/>
          <w:i w:val="false"/>
          <w:color w:val="000000"/>
          <w:sz w:val="24"/>
        </w:rPr>
        <w:t xml:space="preserve">Name: </w:t>
      </w:r>
    </w:p>
    <w:p>
      <w:pPr>
        <w:spacing w:before="0" w:after="0"/>
        <w:ind w:left="120"/>
        <w:jc w:val="both"/>
      </w:pPr>
      <w:r>
        <w:rPr>
          <w:rFonts w:ascii="Times New Roman" w:hAnsi="Times New Roman"/>
          <w:b w:val="false"/>
          <w:i w:val="false"/>
          <w:color w:val="000000"/>
          <w:sz w:val="24"/>
        </w:rPr>
        <w:t xml:space="preserve">Name: </w:t>
      </w:r>
    </w:p>
    <w:p>
      <w:pPr>
        <w:spacing w:before="0" w:after="0"/>
        <w:ind w:left="120"/>
        <w:jc w:val="both"/>
      </w:pPr>
      <w:r>
        <w:rPr>
          <w:rFonts w:ascii="Times New Roman" w:hAnsi="Times New Roman"/>
          <w:b w:val="false"/>
          <w:i w:val="false"/>
          <w:color w:val="000000"/>
          <w:sz w:val="24"/>
        </w:rPr>
        <w:t xml:space="preserve">Name: </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u w:val="single"/>
        </w:rPr>
        <w:t>Patients, please note</w:t>
      </w:r>
      <w:r>
        <w:rPr>
          <w:rFonts w:ascii="Times New Roman" w:hAnsi="Times New Roman"/>
          <w:b/>
          <w:i w:val="false"/>
          <w:color w:val="000000"/>
          <w:sz w:val="24"/>
        </w:rPr>
        <w:t xml:space="preserve">: </w:t>
      </w:r>
      <w:r>
        <w:rPr>
          <w:rFonts w:ascii="Times New Roman" w:hAnsi="Times New Roman"/>
          <w:b w:val="false"/>
          <w:i w:val="false"/>
          <w:color w:val="000000"/>
          <w:sz w:val="24"/>
        </w:rPr>
        <w:t>Directions for obtaining a uniform identifier are listed on the back of this form. The uniform identifier is the key way the health care provider and/or EMS personnel can quickly recognize that you have an Out-of-Hospital Do-Not-Resuscitate order. If you are not wearing an identifier, the health care provider and/or EMS personnel may not realize that you do not want to be resuscitated.</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strike/>
          <w:color w:val="000000"/>
          <w:sz w:val="24"/>
        </w:rPr>
        <w:t>Physicians or physician associates</w:t>
      </w:r>
      <w:r>
        <w:rPr>
          <w:rFonts w:ascii="Times New Roman" w:hAnsi="Times New Roman"/>
          <w:b/>
          <w:i w:val="false"/>
          <w:color w:val="000000"/>
          <w:sz w:val="24"/>
          <w:u w:val="single"/>
        </w:rPr>
        <w:t> </w:t>
      </w:r>
      <w:r>
        <w:rPr>
          <w:rFonts w:ascii="Times New Roman" w:hAnsi="Times New Roman"/>
          <w:b/>
          <w:i w:val="false"/>
          <w:color w:val="000000"/>
          <w:sz w:val="24"/>
          <w:u w:val="single"/>
        </w:rPr>
        <w:t>Attending providers</w:t>
      </w:r>
      <w:r>
        <w:rPr>
          <w:rFonts w:ascii="Times New Roman" w:hAnsi="Times New Roman"/>
          <w:b/>
          <w:i w:val="false"/>
          <w:color w:val="000000"/>
          <w:sz w:val="24"/>
          <w:u w:val="single"/>
        </w:rPr>
        <w:t>, please note</w:t>
      </w:r>
      <w:r>
        <w:rPr>
          <w:rFonts w:ascii="Times New Roman" w:hAnsi="Times New Roman"/>
          <w:b/>
          <w:i w:val="false"/>
          <w:color w:val="000000"/>
          <w:sz w:val="24"/>
        </w:rPr>
        <w:t>:</w:t>
      </w:r>
      <w:r>
        <w:rPr>
          <w:rFonts w:ascii="Times New Roman" w:hAnsi="Times New Roman"/>
          <w:b w:val="false"/>
          <w:i w:val="false"/>
          <w:color w:val="000000"/>
          <w:sz w:val="24"/>
        </w:rPr>
        <w:t xml:space="preserve"> Information regarding the completion of an Out-of-Hospital Do-Not-Resuscitate order is on the back of this form.</w:t>
      </w:r>
    </w:p>
    <w:p>
      <w:pPr>
        <w:pageBreakBefore/>
        <w:spacing w:before="0" w:after="0" w:line="480"/>
        <w:ind w:left="120"/>
        <w:jc w:val="left"/>
      </w:pPr>
    </w:p>
    <w:p>
      <w:pPr>
        <w:spacing w:before="0" w:after="0"/>
        <w:ind w:left="120"/>
        <w:jc w:val="center"/>
      </w:pPr>
      <w:r>
        <w:rPr>
          <w:rFonts w:ascii="Times New Roman" w:hAnsi="Times New Roman"/>
          <w:b w:val="false"/>
          <w:i w:val="false"/>
          <w:color w:val="000000"/>
          <w:sz w:val="24"/>
        </w:rPr>
        <w:t>APPENDIX A</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u w:val="single"/>
        </w:rPr>
        <w:t>Directions for obtaining a uniform identifier</w:t>
      </w:r>
      <w:r>
        <w:rPr>
          <w:rFonts w:ascii="Times New Roman" w:hAnsi="Times New Roman"/>
          <w:b/>
          <w:i w:val="false"/>
          <w:color w:val="000000"/>
          <w:sz w:val="24"/>
        </w:rPr>
        <w:t>:</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The uniform identifier may be obtained through MedicAlert®</w:t>
      </w:r>
      <w:r>
        <w:rPr>
          <w:rFonts w:ascii="Times New Roman" w:hAnsi="Times New Roman"/>
          <w:b w:val="false"/>
          <w:i w:val="false"/>
          <w:color w:val="000000"/>
          <w:sz w:val="24"/>
          <w:vertAlign w:val="superscript"/>
        </w:rPr>
        <w:t>1</w:t>
      </w:r>
      <w:r>
        <w:rPr>
          <w:rFonts w:ascii="Times New Roman" w:hAnsi="Times New Roman"/>
          <w:b w:val="false"/>
          <w:i w:val="false"/>
          <w:color w:val="000000"/>
          <w:sz w:val="24"/>
        </w:rPr>
        <w:t>, which requires: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val="false"/>
          <w:i w:val="false"/>
          <w:color w:val="000000"/>
          <w:sz w:val="24"/>
          <w:u w:val="single"/>
        </w:rPr>
        <w:t>A completed MedicAlert® application</w:t>
      </w:r>
      <w:r>
        <w:rPr>
          <w:rFonts w:ascii="Times New Roman" w:hAnsi="Times New Roman"/>
          <w:b w:val="false"/>
          <w:i w:val="false"/>
          <w:color w:val="000000"/>
          <w:sz w:val="24"/>
        </w:rPr>
        <w:t>, which is available in physician</w:t>
      </w:r>
      <w:r>
        <w:rPr>
          <w:rFonts w:ascii="Times New Roman" w:hAnsi="Times New Roman"/>
          <w:b w:val="false"/>
          <w:i w:val="false"/>
          <w:color w:val="000000"/>
          <w:sz w:val="24"/>
          <w:u w:val="single"/>
        </w:rPr>
        <w: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or</w:t>
      </w:r>
      <w:r>
        <w:rPr>
          <w:rFonts w:ascii="Times New Roman" w:hAnsi="Times New Roman"/>
          <w:b w:val="false"/>
          <w:i w:val="false"/>
          <w:color w:val="000000"/>
          <w:sz w:val="24"/>
        </w:rPr>
        <w:t xml:space="preserve"> physician associate</w:t>
      </w:r>
      <w:r>
        <w:rPr>
          <w:rFonts w:ascii="Times New Roman" w:hAnsi="Times New Roman"/>
          <w:b w:val="false"/>
          <w:i w:val="false"/>
          <w:color w:val="000000"/>
          <w:sz w:val="24"/>
          <w:u w:val="single"/>
        </w:rPr>
        <w:t>, or ARNP</w:t>
      </w:r>
      <w:r>
        <w:rPr>
          <w:rFonts w:ascii="Times New Roman" w:hAnsi="Times New Roman"/>
          <w:b w:val="false"/>
          <w:i w:val="false"/>
          <w:color w:val="000000"/>
          <w:sz w:val="24"/>
        </w:rPr>
        <w:t xml:space="preserve"> offices or through MedicAlert® by phoning (800)432-5378 or the website </w:t>
      </w:r>
      <w:hyperlink r:id="rId17">
        <w:r>
          <w:rPr>
            <w:rStyle w:val="Hyperlink"/>
            <w:rFonts w:ascii="Times New Roman" w:hAnsi="Times New Roman"/>
            <w:b w:val="false"/>
            <w:i w:val="false"/>
            <w:color w:val="000000"/>
            <w:sz w:val="24"/>
            <w:u w:val="single"/>
          </w:rPr>
          <w:t>www.medicalert.org</w:t>
        </w:r>
      </w:hyperlink>
      <w:r>
        <w:rPr>
          <w:rFonts w:ascii="Times New Roman" w:hAnsi="Times New Roman"/>
          <w:b w:val="false"/>
          <w:i w:val="false"/>
          <w:color w:val="000000"/>
          <w:sz w:val="24"/>
        </w:rPr>
        <w:t xml:space="preserve">, </w:t>
      </w:r>
      <w:r>
        <w:rPr>
          <w:rFonts w:ascii="Times New Roman" w:hAnsi="Times New Roman"/>
          <w:b w:val="false"/>
          <w:i w:val="false"/>
          <w:color w:val="000000"/>
          <w:sz w:val="24"/>
          <w:u w:val="single"/>
        </w:rPr>
        <w:t>and fee</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2.   </w:t>
      </w:r>
      <w:r>
        <w:rPr>
          <w:rFonts w:ascii="Times New Roman" w:hAnsi="Times New Roman"/>
          <w:b w:val="false"/>
          <w:i w:val="false"/>
          <w:color w:val="000000"/>
          <w:sz w:val="24"/>
          <w:u w:val="single"/>
        </w:rPr>
        <w:t>A copy of this completed OOH DNR order</w:t>
      </w:r>
      <w:r>
        <w:rPr>
          <w:rFonts w:ascii="Times New Roman" w:hAnsi="Times New Roman"/>
          <w:b w:val="false"/>
          <w:i w:val="false"/>
          <w:color w:val="000000"/>
          <w:sz w:val="24"/>
        </w:rPr>
        <w:t xml:space="preserve">, which must accompany the </w:t>
      </w:r>
      <w:r>
        <w:rPr>
          <w:rFonts w:ascii="Times New Roman" w:hAnsi="Times New Roman"/>
          <w:b w:val="false"/>
          <w:i w:val="false"/>
          <w:color w:val="000000"/>
          <w:sz w:val="24"/>
          <w:u w:val="single"/>
        </w:rPr>
        <w:t>MedicAlert®</w:t>
      </w:r>
      <w:r>
        <w:rPr>
          <w:rFonts w:ascii="Times New Roman" w:hAnsi="Times New Roman"/>
          <w:b w:val="false"/>
          <w:i w:val="false"/>
          <w:color w:val="000000"/>
          <w:sz w:val="24"/>
        </w:rPr>
        <w:t xml:space="preserve"> application or be sent to MedicAlert® prior to the identifier’s being mailed.</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vertAlign w:val="superscript"/>
        </w:rPr>
        <w:t>1</w:t>
      </w:r>
      <w:r>
        <w:rPr>
          <w:rFonts w:ascii="Times New Roman" w:hAnsi="Times New Roman"/>
          <w:b w:val="false"/>
          <w:i/>
          <w:color w:val="000000"/>
          <w:sz w:val="24"/>
        </w:rPr>
        <w:t>MedicAlert® is a nonprofit 501C membership organization.</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u w:val="single"/>
        </w:rPr>
        <w:t xml:space="preserve">Suggested guidelines for </w:t>
      </w:r>
      <w:r>
        <w:rPr>
          <w:rFonts w:ascii="Times New Roman" w:hAnsi="Times New Roman"/>
          <w:b/>
          <w:i w:val="false"/>
          <w:strike/>
          <w:color w:val="000000"/>
          <w:sz w:val="24"/>
        </w:rPr>
        <w:t>physicians or physician associates</w:t>
      </w:r>
      <w:r>
        <w:rPr>
          <w:rFonts w:ascii="Times New Roman" w:hAnsi="Times New Roman"/>
          <w:b/>
          <w:i w:val="false"/>
          <w:color w:val="000000"/>
          <w:sz w:val="24"/>
          <w:u w:val="single"/>
        </w:rPr>
        <w:t> </w:t>
      </w:r>
      <w:r>
        <w:rPr>
          <w:rFonts w:ascii="Times New Roman" w:hAnsi="Times New Roman"/>
          <w:b/>
          <w:i w:val="false"/>
          <w:color w:val="000000"/>
          <w:sz w:val="24"/>
          <w:u w:val="single"/>
        </w:rPr>
        <w:t>attending providers</w:t>
      </w:r>
      <w:r>
        <w:rPr>
          <w:rFonts w:ascii="Times New Roman" w:hAnsi="Times New Roman"/>
          <w:b/>
          <w:i w:val="false"/>
          <w:color w:val="000000"/>
          <w:sz w:val="24"/>
        </w:rPr>
        <w: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val="false"/>
          <w:i w:val="false"/>
          <w:color w:val="000000"/>
          <w:sz w:val="24"/>
        </w:rPr>
        <w:t>Please review the Iowa Out-of-Hospital Do-Not-Resuscitate order and related protocol with the patient/patient’s legal representative(s). The following points may be helpful:</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Patient/patient’s legal representative(s) listed on this order must understand the significance of this order, that in the event the patient’s heart or breathing stops or malfunctions, the anticipated result of this order is death.</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Patient/patient’s legal representative(s) listed on this order may revoke this directive at any time. However, the desire to revoke must be communicated to the EMS or other health care professionals at the scene.</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It is important to emphasize that this order does not apply to medical interventions to make the patient more comfortable.</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The importance of wearing the uniform identifier for those qualified patients who would benefit from the mobility this offers should be stressed. It is also helpful to walk patients through the process they must follow to acquire the identifier.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2.   </w:t>
      </w:r>
      <w:r>
        <w:rPr>
          <w:rFonts w:ascii="Times New Roman" w:hAnsi="Times New Roman"/>
          <w:b w:val="false"/>
          <w:i w:val="false"/>
          <w:color w:val="000000"/>
          <w:sz w:val="24"/>
        </w:rPr>
        <w:t>Provide a copy of this order to the patient/patient’s legal representative(s) listed on this order and place the original in the patient’s medical records.</w:t>
      </w:r>
      <w:r>
        <w:br/>
      </w:r>
    </w:p>
    <w:p>
      <w:pPr>
        <w:spacing w:before="0" w:after="0"/>
        <w:ind w:left="120"/>
        <w:jc w:val="left"/>
      </w:pPr>
      <w:r>
        <w:rPr>
          <w:rFonts w:ascii="Times New Roman" w:hAnsi="Times New Roman"/>
          <w:b w:val="false"/>
          <w:i w:val="false"/>
          <w:color w:val="000000"/>
          <w:sz w:val="24"/>
        </w:rPr>
        <w:t> </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The OOH DNR Order form is available through the department’s website.</w:t>
      </w:r>
    </w:p>
    <w:p>
      <w:pPr>
        <w:spacing w:before="0" w:after="0" w:line="240"/>
        <w:ind w:left="120"/>
        <w:jc w:val="left"/>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641—Chapter 142</w:t>
      </w:r>
      <w:r>
        <w:rPr>
          <w:rFonts w:ascii="Times New Roman" w:hAnsi="Times New Roman"/>
          <w:b w:val="false"/>
          <w:i w:val="false"/>
          <w:color w:val="000000"/>
          <w:sz w:val="24"/>
        </w:rPr>
        <w:t>, Appendix B</w:t>
      </w:r>
      <w:r>
        <w:rPr>
          <w:rFonts w:ascii="Times New Roman" w:hAnsi="Times New Roman"/>
          <w:b w:val="false"/>
          <w:i w:val="false"/>
          <w:color w:val="000000"/>
          <w:sz w:val="24"/>
        </w:rPr>
        <w:t>, as follows:</w:t>
      </w:r>
    </w:p>
    <w:p>
      <w:pPr>
        <w:spacing w:before="0" w:after="0"/>
        <w:ind w:left="120"/>
        <w:jc w:val="center"/>
      </w:pPr>
      <w:r>
        <w:br w:type="page"/>
      </w:r>
      <w:r>
        <w:rPr>
          <w:rFonts w:ascii="Times New Roman" w:hAnsi="Times New Roman"/>
          <w:b w:val="false"/>
          <w:i w:val="false"/>
          <w:color w:val="000000"/>
          <w:sz w:val="24"/>
        </w:rPr>
        <w:t>APPENDIX B</w:t>
      </w:r>
    </w:p>
    <w:p>
      <w:pPr>
        <w:spacing w:before="0" w:after="0"/>
        <w:ind w:left="120"/>
        <w:jc w:val="left"/>
      </w:pPr>
      <w:r>
        <w:rPr>
          <w:rFonts w:ascii="Times New Roman" w:hAnsi="Times New Roman"/>
          <w:b w:val="false"/>
          <w:i w:val="false"/>
          <w:color w:val="000000"/>
          <w:sz w:val="24"/>
        </w:rPr>
        <w:t> </w:t>
      </w:r>
    </w:p>
    <w:p>
      <w:pPr>
        <w:spacing w:before="0" w:after="0"/>
        <w:ind w:left="120"/>
        <w:jc w:val="center"/>
      </w:pPr>
      <w:r>
        <w:rPr>
          <w:rFonts w:ascii="Times New Roman" w:hAnsi="Times New Roman"/>
          <w:b/>
          <w:i w:val="false"/>
          <w:color w:val="000000"/>
          <w:sz w:val="24"/>
        </w:rPr>
        <w:t>EMS OUT-OF-HOSPITAL DO-NOT-RESUSCITATE PROTOCOL</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Purpose:</w:t>
      </w:r>
      <w:r>
        <w:rPr>
          <w:rFonts w:ascii="Times New Roman" w:hAnsi="Times New Roman"/>
          <w:b w:val="false"/>
          <w:i w:val="false"/>
          <w:color w:val="000000"/>
          <w:sz w:val="24"/>
        </w:rPr>
        <w:t xml:space="preserve"> This protocol is intended to avoid unwarranted resuscitation by emergency care providers in the out-of-hospital setting for a </w:t>
      </w:r>
      <w:r>
        <w:rPr>
          <w:rFonts w:ascii="Times New Roman" w:hAnsi="Times New Roman"/>
          <w:b w:val="false"/>
          <w:i/>
          <w:color w:val="000000"/>
          <w:sz w:val="24"/>
        </w:rPr>
        <w:t>qualified patient</w:t>
      </w:r>
      <w:r>
        <w:rPr>
          <w:rFonts w:ascii="Times New Roman" w:hAnsi="Times New Roman"/>
          <w:b w:val="false"/>
          <w:i w:val="false"/>
          <w:color w:val="000000"/>
          <w:sz w:val="24"/>
        </w:rPr>
        <w:t>.</w:t>
      </w:r>
      <w:r>
        <w:rPr>
          <w:rFonts w:ascii="Times New Roman" w:hAnsi="Times New Roman"/>
          <w:b w:val="false"/>
          <w:i w:val="false"/>
          <w:color w:val="000000"/>
          <w:sz w:val="24"/>
          <w:vertAlign w:val="superscript"/>
        </w:rPr>
        <w:t xml:space="preserve">1 </w:t>
      </w:r>
      <w:r>
        <w:rPr>
          <w:rFonts w:ascii="Times New Roman" w:hAnsi="Times New Roman"/>
          <w:b w:val="false"/>
          <w:i w:val="false"/>
          <w:color w:val="000000"/>
          <w:sz w:val="24"/>
        </w:rPr>
        <w:t xml:space="preserve">There must be a valid Out-of-Hospital Do-Not-Resuscitate (OOH DNR) order signed by the qualified patient’s attending </w:t>
      </w:r>
      <w:r>
        <w:rPr>
          <w:rFonts w:ascii="Times New Roman" w:hAnsi="Times New Roman"/>
          <w:b w:val="false"/>
          <w:i w:val="false"/>
          <w:strike/>
          <w:color w:val="000000"/>
          <w:sz w:val="24"/>
        </w:rPr>
        <w:t>physician or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or the presence of the OOH DNR identifier indicating the existence of a valid OOH DNR order.</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No resuscitation:</w:t>
      </w:r>
      <w:r>
        <w:rPr>
          <w:rFonts w:ascii="Times New Roman" w:hAnsi="Times New Roman"/>
          <w:b w:val="false"/>
          <w:i w:val="false"/>
          <w:color w:val="000000"/>
          <w:sz w:val="24"/>
        </w:rPr>
        <w:t xml:space="preserve"> Means withholding any medical intervention that utilizes mechanical or artificial means to sustain, restore, or supplant a spontaneous vital function, including but not limited to:</w:t>
      </w:r>
    </w:p>
    <w:p>
      <w:pPr>
        <w:spacing w:before="0" w:after="0" w:line="480"/>
        <w:ind w:left="120"/>
        <w:jc w:val="left"/>
      </w:pPr>
      <w:r>
        <w:rPr>
          <w:rFonts w:ascii="Times New Roman" w:hAnsi="Times New Roman"/>
          <w:b w:val="false"/>
          <w:i w:val="false"/>
          <w:color w:val="000000"/>
          <w:sz w:val="24"/>
        </w:rPr>
        <w:t>    1.   </w:t>
      </w:r>
      <w:r>
        <w:rPr>
          <w:rFonts w:ascii="Times New Roman" w:hAnsi="Times New Roman"/>
          <w:b w:val="false"/>
          <w:i w:val="false"/>
          <w:color w:val="000000"/>
          <w:sz w:val="24"/>
        </w:rPr>
        <w:t>Chest compressions,</w:t>
      </w:r>
    </w:p>
    <w:p>
      <w:pPr>
        <w:spacing w:before="0" w:after="0" w:line="480"/>
        <w:ind w:left="120"/>
        <w:jc w:val="left"/>
      </w:pPr>
      <w:r>
        <w:rPr>
          <w:rFonts w:ascii="Times New Roman" w:hAnsi="Times New Roman"/>
          <w:b w:val="false"/>
          <w:i w:val="false"/>
          <w:color w:val="000000"/>
          <w:sz w:val="24"/>
        </w:rPr>
        <w:t>    2.   </w:t>
      </w:r>
      <w:r>
        <w:rPr>
          <w:rFonts w:ascii="Times New Roman" w:hAnsi="Times New Roman"/>
          <w:b w:val="false"/>
          <w:i w:val="false"/>
          <w:color w:val="000000"/>
          <w:sz w:val="24"/>
        </w:rPr>
        <w:t>Defibrillation,</w:t>
      </w:r>
    </w:p>
    <w:p>
      <w:pPr>
        <w:spacing w:before="0" w:after="0" w:line="480"/>
        <w:ind w:left="120"/>
        <w:jc w:val="left"/>
      </w:pPr>
      <w:r>
        <w:rPr>
          <w:rFonts w:ascii="Times New Roman" w:hAnsi="Times New Roman"/>
          <w:b w:val="false"/>
          <w:i w:val="false"/>
          <w:color w:val="000000"/>
          <w:sz w:val="24"/>
        </w:rPr>
        <w:t>    3.   </w:t>
      </w:r>
      <w:r>
        <w:rPr>
          <w:rFonts w:ascii="Times New Roman" w:hAnsi="Times New Roman"/>
          <w:b w:val="false"/>
          <w:i w:val="false"/>
          <w:color w:val="000000"/>
          <w:sz w:val="24"/>
        </w:rPr>
        <w:t>Esophageal/tracheal/double-lumen airway; endotracheal intubation, or</w:t>
      </w:r>
    </w:p>
    <w:p>
      <w:pPr>
        <w:spacing w:before="0" w:after="0" w:line="480"/>
        <w:ind w:left="120"/>
        <w:jc w:val="left"/>
      </w:pPr>
      <w:r>
        <w:rPr>
          <w:rFonts w:ascii="Times New Roman" w:hAnsi="Times New Roman"/>
          <w:b w:val="false"/>
          <w:i w:val="false"/>
          <w:color w:val="000000"/>
          <w:sz w:val="24"/>
        </w:rPr>
        <w:t>    4.   </w:t>
      </w:r>
      <w:r>
        <w:rPr>
          <w:rFonts w:ascii="Times New Roman" w:hAnsi="Times New Roman"/>
          <w:b w:val="false"/>
          <w:i w:val="false"/>
          <w:color w:val="000000"/>
          <w:sz w:val="24"/>
        </w:rPr>
        <w:t>Emergency drugs to alter cardiac or respiratory function or otherwise sustain life.</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Patient criteria:</w:t>
      </w:r>
      <w:r>
        <w:rPr>
          <w:rFonts w:ascii="Times New Roman" w:hAnsi="Times New Roman"/>
          <w:b w:val="false"/>
          <w:i w:val="false"/>
          <w:color w:val="000000"/>
          <w:sz w:val="24"/>
        </w:rPr>
        <w:t xml:space="preserve"> The following patients are recognized as qualified patients to receive no resuscitation:</w:t>
      </w:r>
    </w:p>
    <w:p>
      <w:pPr>
        <w:spacing w:before="0" w:after="0" w:line="480"/>
        <w:ind w:left="120"/>
        <w:jc w:val="left"/>
      </w:pPr>
      <w:r>
        <w:rPr>
          <w:rFonts w:ascii="Times New Roman" w:hAnsi="Times New Roman"/>
          <w:b w:val="false"/>
          <w:i w:val="false"/>
          <w:color w:val="000000"/>
          <w:sz w:val="24"/>
        </w:rPr>
        <w:t>    1.   </w:t>
      </w:r>
      <w:r>
        <w:rPr>
          <w:rFonts w:ascii="Times New Roman" w:hAnsi="Times New Roman"/>
          <w:b w:val="false"/>
          <w:i w:val="false"/>
          <w:color w:val="000000"/>
          <w:sz w:val="24"/>
        </w:rPr>
        <w:t>The presence of the uniform OOH DNR order or uniform OOH DNR identifier, or</w:t>
      </w:r>
    </w:p>
    <w:p>
      <w:pPr>
        <w:spacing w:before="0" w:after="0" w:line="480"/>
        <w:ind w:left="120"/>
        <w:jc w:val="left"/>
      </w:pPr>
      <w:r>
        <w:rPr>
          <w:rFonts w:ascii="Times New Roman" w:hAnsi="Times New Roman"/>
          <w:b w:val="false"/>
          <w:i w:val="false"/>
          <w:color w:val="000000"/>
          <w:sz w:val="24"/>
        </w:rPr>
        <w:t>    2.   </w:t>
      </w:r>
      <w:r>
        <w:rPr>
          <w:rFonts w:ascii="Times New Roman" w:hAnsi="Times New Roman"/>
          <w:b w:val="false"/>
          <w:i w:val="false"/>
          <w:color w:val="000000"/>
          <w:sz w:val="24"/>
        </w:rPr>
        <w:t xml:space="preserve">The presence of the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to provide direct verbal orders for care of the patient.</w:t>
      </w:r>
    </w:p>
    <w:p>
      <w:pPr>
        <w:spacing w:before="0" w:after="0"/>
        <w:ind w:left="120"/>
        <w:jc w:val="left"/>
      </w:pPr>
      <w:r>
        <w:rPr>
          <w:rFonts w:ascii="Times New Roman" w:hAnsi="Times New Roman"/>
          <w:b w:val="false"/>
          <w:i w:val="false"/>
          <w:color w:val="000000"/>
          <w:sz w:val="24"/>
        </w:rPr>
        <w:t> </w:t>
      </w:r>
    </w:p>
    <w:p>
      <w:pPr>
        <w:spacing w:before="0" w:after="0"/>
        <w:ind w:left="324"/>
        <w:jc w:val="both"/>
      </w:pPr>
      <w:r>
        <w:rPr>
          <w:rFonts w:ascii="Times New Roman" w:hAnsi="Times New Roman"/>
          <w:b w:val="false"/>
          <w:i/>
          <w:color w:val="000000"/>
          <w:sz w:val="24"/>
        </w:rPr>
        <w:t xml:space="preserve">The presence of a signed </w:t>
      </w:r>
      <w:r>
        <w:rPr>
          <w:rFonts w:ascii="Times New Roman" w:hAnsi="Times New Roman"/>
          <w:b w:val="false"/>
          <w:i/>
          <w:strike/>
          <w:color w:val="000000"/>
          <w:sz w:val="24"/>
        </w:rPr>
        <w:t>physician or physician associate</w:t>
      </w:r>
      <w:r>
        <w:rPr>
          <w:rFonts w:ascii="Times New Roman" w:hAnsi="Times New Roman"/>
          <w:b w:val="false"/>
          <w:i/>
          <w:color w:val="000000"/>
          <w:sz w:val="24"/>
          <w:u w:val="single"/>
        </w:rPr>
        <w:t> </w:t>
      </w:r>
      <w:r>
        <w:rPr>
          <w:rFonts w:ascii="Times New Roman" w:hAnsi="Times New Roman"/>
          <w:b w:val="false"/>
          <w:i/>
          <w:color w:val="000000"/>
          <w:sz w:val="24"/>
          <w:u w:val="single"/>
        </w:rPr>
        <w:t>attending provider</w:t>
      </w:r>
      <w:r>
        <w:rPr>
          <w:rFonts w:ascii="Times New Roman" w:hAnsi="Times New Roman"/>
          <w:b w:val="false"/>
          <w:i/>
          <w:color w:val="000000"/>
          <w:sz w:val="24"/>
        </w:rPr>
        <w:t xml:space="preserve"> order on a form other than the uniform OOH DNR order form approved by the department may be honored if approved by the service program EMS medical director. However, the immunities provided by law apply only in the presence of the uniform OOH DNR order or uniform OOH DNR identifier. When the uniform OOH DNR order or uniform OOH DNR identifier is not present, contact must be made with on-line medical control and on-line medical control must concur that no resuscitation is appropriate.</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Revocation:</w:t>
      </w:r>
      <w:r>
        <w:rPr>
          <w:rFonts w:ascii="Times New Roman" w:hAnsi="Times New Roman"/>
          <w:b w:val="false"/>
          <w:i w:val="false"/>
          <w:color w:val="000000"/>
          <w:sz w:val="24"/>
        </w:rPr>
        <w:t xml:space="preserve"> An OOH DNR order is deemed revoked at any time that a patient, or an individual authorized to act on the patient’s behalf as listed on the OOH DNR order, is able to communicate in any manner the intent that the order be revoked. The personal wishes of family members or other individuals who are not authorized in the order to act on the patient’s behalf shall not supersede a valid OOH DNR order.</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Comfort Care (♥):</w:t>
      </w:r>
      <w:r>
        <w:rPr>
          <w:rFonts w:ascii="Times New Roman" w:hAnsi="Times New Roman"/>
          <w:b w:val="false"/>
          <w:i w:val="false"/>
          <w:color w:val="000000"/>
          <w:sz w:val="24"/>
        </w:rPr>
        <w:t xml:space="preserve"> When a patient has met the criteria for no resuscitation under the foregoing information, the emergency care provider </w:t>
      </w:r>
      <w:r>
        <w:rPr>
          <w:rFonts w:ascii="Times New Roman" w:hAnsi="Times New Roman"/>
          <w:b w:val="false"/>
          <w:i w:val="false"/>
          <w:color w:val="000000"/>
          <w:sz w:val="24"/>
          <w:u w:val="single"/>
        </w:rPr>
        <w:t xml:space="preserve">should continue to provide that care which is intended to make the patient comfortable (a.k.a. </w:t>
      </w:r>
      <w:r>
        <w:rPr>
          <w:rFonts w:ascii="Times New Roman" w:hAnsi="Times New Roman"/>
          <w:b/>
          <w:i w:val="false"/>
          <w:color w:val="000000"/>
          <w:sz w:val="24"/>
        </w:rPr>
        <w:t>♥</w:t>
      </w:r>
      <w:r>
        <w:rPr>
          <w:rFonts w:ascii="Times New Roman" w:hAnsi="Times New Roman"/>
          <w:b/>
          <w:i w:val="false"/>
          <w:color w:val="000000"/>
          <w:sz w:val="24"/>
        </w:rPr>
        <w:t>Comfort Care</w:t>
      </w:r>
      <w:r>
        <w:rPr>
          <w:rFonts w:ascii="Times New Roman" w:hAnsi="Times New Roman"/>
          <w:b w:val="false"/>
          <w:i w:val="false"/>
          <w:color w:val="000000"/>
          <w:sz w:val="24"/>
          <w:u w:val="single"/>
        </w:rPr>
        <w:t>)</w:t>
      </w:r>
      <w:r>
        <w:rPr>
          <w:rFonts w:ascii="Times New Roman" w:hAnsi="Times New Roman"/>
          <w:b w:val="false"/>
          <w:i w:val="false"/>
          <w:color w:val="000000"/>
          <w:sz w:val="24"/>
        </w:rPr>
        <w:t>. Whether other types of care are indicated will depend upon individual circumstances for which medical control may be contacted by or through the responding ambulance service personnel.</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color w:val="000000"/>
          <w:sz w:val="24"/>
        </w:rPr>
        <w:t>♥</w:t>
      </w:r>
      <w:r>
        <w:rPr>
          <w:rFonts w:ascii="Times New Roman" w:hAnsi="Times New Roman"/>
          <w:b/>
          <w:i/>
          <w:color w:val="000000"/>
          <w:sz w:val="24"/>
        </w:rPr>
        <w:t>Comfort Care</w:t>
      </w:r>
      <w:r>
        <w:rPr>
          <w:rFonts w:ascii="Times New Roman" w:hAnsi="Times New Roman"/>
          <w:b w:val="false"/>
          <w:i w:val="false"/>
          <w:color w:val="000000"/>
          <w:sz w:val="24"/>
          <w:u w:val="single"/>
        </w:rPr>
        <w:t> </w:t>
      </w:r>
      <w:r>
        <w:rPr>
          <w:rFonts w:ascii="Times New Roman" w:hAnsi="Times New Roman"/>
          <w:b w:val="false"/>
          <w:i/>
          <w:color w:val="000000"/>
          <w:sz w:val="24"/>
        </w:rPr>
        <w:t>may include but is not limited to:</w:t>
      </w:r>
    </w:p>
    <w:p>
      <w:pPr>
        <w:spacing w:before="0" w:after="0" w:line="480"/>
        <w:ind w:left="120"/>
        <w:jc w:val="left"/>
      </w:pPr>
      <w:r>
        <w:rPr>
          <w:rFonts w:ascii="Times New Roman" w:hAnsi="Times New Roman"/>
          <w:b w:val="false"/>
          <w:i w:val="false"/>
          <w:color w:val="000000"/>
          <w:sz w:val="24"/>
        </w:rPr>
        <w:t>    1.   </w:t>
      </w:r>
      <w:r>
        <w:rPr>
          <w:rFonts w:ascii="Times New Roman" w:hAnsi="Times New Roman"/>
          <w:b w:val="false"/>
          <w:i/>
          <w:color w:val="000000"/>
          <w:sz w:val="24"/>
        </w:rPr>
        <w:t>Pain medication.</w:t>
      </w:r>
    </w:p>
    <w:p>
      <w:pPr>
        <w:spacing w:before="0" w:after="0" w:line="480"/>
        <w:ind w:left="120"/>
        <w:jc w:val="left"/>
      </w:pPr>
      <w:r>
        <w:rPr>
          <w:rFonts w:ascii="Times New Roman" w:hAnsi="Times New Roman"/>
          <w:b w:val="false"/>
          <w:i w:val="false"/>
          <w:color w:val="000000"/>
          <w:sz w:val="24"/>
        </w:rPr>
        <w:t>    2.   </w:t>
      </w:r>
      <w:r>
        <w:rPr>
          <w:rFonts w:ascii="Times New Roman" w:hAnsi="Times New Roman"/>
          <w:b w:val="false"/>
          <w:i/>
          <w:color w:val="000000"/>
          <w:sz w:val="24"/>
        </w:rPr>
        <w:t>Fluid therapy.</w:t>
      </w:r>
    </w:p>
    <w:p>
      <w:pPr>
        <w:spacing w:before="0" w:after="0" w:line="480"/>
        <w:ind w:left="120"/>
        <w:jc w:val="left"/>
      </w:pPr>
      <w:r>
        <w:rPr>
          <w:rFonts w:ascii="Times New Roman" w:hAnsi="Times New Roman"/>
          <w:b w:val="false"/>
          <w:i w:val="false"/>
          <w:color w:val="000000"/>
          <w:sz w:val="24"/>
        </w:rPr>
        <w:t>    3.   </w:t>
      </w:r>
      <w:r>
        <w:rPr>
          <w:rFonts w:ascii="Times New Roman" w:hAnsi="Times New Roman"/>
          <w:b w:val="false"/>
          <w:i/>
          <w:color w:val="000000"/>
          <w:sz w:val="24"/>
        </w:rPr>
        <w:t>Respiratory assistance (oxygen and suctioning).</w:t>
      </w:r>
    </w:p>
    <w:p>
      <w:pPr>
        <w:spacing w:before="0" w:after="0"/>
        <w:ind w:left="120"/>
        <w:jc w:val="both"/>
      </w:pPr>
      <w:r>
        <w:rPr>
          <w:rFonts w:ascii="Times New Roman" w:hAnsi="Times New Roman"/>
          <w:b w:val="false"/>
          <w:i w:val="false"/>
          <w:color w:val="000000"/>
          <w:sz w:val="24"/>
          <w:vertAlign w:val="superscript"/>
        </w:rPr>
        <w:t>1</w:t>
      </w:r>
      <w:r>
        <w:rPr>
          <w:rFonts w:ascii="Times New Roman" w:hAnsi="Times New Roman"/>
          <w:b w:val="false"/>
          <w:i/>
          <w:color w:val="000000"/>
          <w:sz w:val="24"/>
        </w:rPr>
        <w:t>Qualified patient</w:t>
      </w:r>
      <w:r>
        <w:rPr>
          <w:rFonts w:ascii="Times New Roman" w:hAnsi="Times New Roman"/>
          <w:b w:val="false"/>
          <w:i w:val="false"/>
          <w:color w:val="000000"/>
          <w:sz w:val="24"/>
        </w:rPr>
        <w:t xml:space="preserve"> means an adult patient determined by an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to be in a terminal condition for which the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has issued an Out-of-Hospital DNR order in accordance with the law. (Rule </w:t>
      </w:r>
      <w:hyperlink r:id="rId18">
        <w:r>
          <w:rPr>
            <w:rStyle w:val="Hyperlink"/>
            <w:rFonts w:ascii="Times New Roman" w:hAnsi="Times New Roman"/>
            <w:b w:val="false"/>
            <w:i w:val="false"/>
            <w:color w:val="000000"/>
            <w:sz w:val="24"/>
          </w:rPr>
          <w:t>641—142.1(144A)</w:t>
        </w:r>
      </w:hyperlink>
      <w:r>
        <w:rPr>
          <w:rFonts w:ascii="Times New Roman" w:hAnsi="Times New Roman"/>
          <w:b w:val="false"/>
          <w:i w:val="false"/>
          <w:color w:val="000000"/>
          <w:sz w:val="24"/>
        </w:rPr>
        <w:t>, definitions)</w:t>
      </w:r>
    </w:p>
    <w:p>
      <w:pPr>
        <w:spacing w:before="0" w:after="0" w:line="240"/>
        <w:ind w:left="120"/>
        <w:jc w:val="left"/>
      </w:pP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135J.1.pdf" Type="http://schemas.openxmlformats.org/officeDocument/2006/relationships/hyperlink" Id="rId5"/>
    <Relationship TargetMode="External" Target="https://www.legis.iowa.gov/docs/ico/chapter/144A.2.pdf" Type="http://schemas.openxmlformats.org/officeDocument/2006/relationships/hyperlink" Id="rId6"/>
    <Relationship TargetMode="External" Target="https://www.legis.iowa.gov/docs/ico/chapter/144A.2.pdf" Type="http://schemas.openxmlformats.org/officeDocument/2006/relationships/hyperlink" Id="rId7"/>
    <Relationship TargetMode="External" Target="https://www.legis.iowa.gov/docs/ico/chapter/144A.7A.pdf" Type="http://schemas.openxmlformats.org/officeDocument/2006/relationships/hyperlink" Id="rId8"/>
    <Relationship TargetMode="External" Target="https://www.legis.iowa.gov/docs/ico/chapter/144A.2.pdf" Type="http://schemas.openxmlformats.org/officeDocument/2006/relationships/hyperlink" Id="rId9"/>
    <Relationship TargetMode="External" Target="https://www.legis.iowa.gov/docs/ico/chapter/144A.2.pdf" Type="http://schemas.openxmlformats.org/officeDocument/2006/relationships/hyperlink" Id="rId10"/>
    <Relationship TargetMode="External" Target="https://www.legis.iowa.gov/docs/ico/chapter/144A.2.pdf" Type="http://schemas.openxmlformats.org/officeDocument/2006/relationships/hyperlink" Id="rId11"/>
    <Relationship TargetMode="External" Target="https://www.legis.iowa.gov/docs/ico/chapter/144A.2.pdf" Type="http://schemas.openxmlformats.org/officeDocument/2006/relationships/hyperlink" Id="rId12"/>
    <Relationship TargetMode="External" Target="https://www.legis.iowa.gov/docs/ico/chapter/144A.8.pdf" Type="http://schemas.openxmlformats.org/officeDocument/2006/relationships/hyperlink" Id="rId13"/>
    <Relationship TargetMode="External" Target="https://www.legis.iowa.gov/docs/ico/chapter/144A.7A.pdf" Type="http://schemas.openxmlformats.org/officeDocument/2006/relationships/hyperlink" Id="rId14"/>
    <Relationship TargetMode="External" Target="https://www.legis.iowa.gov/docs/ico/chapter/144A.7A.pdf" Type="http://schemas.openxmlformats.org/officeDocument/2006/relationships/hyperlink" Id="rId15"/>
    <Relationship TargetMode="External" Target="https://www.legis.iowa.gov/docs/ico/chapter/142A.pdf" Type="http://schemas.openxmlformats.org/officeDocument/2006/relationships/hyperlink" Id="rId16"/>
    <Relationship TargetMode="External" Target="http://www.medicalert.org" Type="http://schemas.openxmlformats.org/officeDocument/2006/relationships/hyperlink" Id="rId17"/>
    <Relationship TargetMode="External" Target="https://www.legis.iowa.gov/docs/iac/rule/641.142.1.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